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07" w:rsidRPr="00EF0B94" w:rsidRDefault="00A66207" w:rsidP="00A66207">
      <w:pPr>
        <w:spacing w:after="0" w:line="240" w:lineRule="auto"/>
      </w:pPr>
      <w:r w:rsidRPr="00EF0B94">
        <w:t xml:space="preserve">Een nieuwe </w:t>
      </w:r>
      <w:proofErr w:type="spellStart"/>
      <w:r w:rsidRPr="00EF0B94">
        <w:t>ehealth</w:t>
      </w:r>
      <w:proofErr w:type="spellEnd"/>
      <w:r w:rsidRPr="00EF0B94">
        <w:t xml:space="preserve"> service voor vrouwen met urine incontinentie: een internet Diagnostisch Expert Programma gecombineerd met continentie verpleegkundige zorg aan huis.</w:t>
      </w:r>
    </w:p>
    <w:p w:rsidR="00A66207" w:rsidRPr="00EF0B94" w:rsidRDefault="00A66207" w:rsidP="00A66207">
      <w:pPr>
        <w:spacing w:after="0" w:line="240" w:lineRule="auto"/>
      </w:pPr>
    </w:p>
    <w:p w:rsidR="00A66207" w:rsidRPr="00EF0B94" w:rsidRDefault="00A66207" w:rsidP="00A66207">
      <w:pPr>
        <w:spacing w:after="0" w:line="240" w:lineRule="auto"/>
      </w:pPr>
      <w:r w:rsidRPr="00EF0B94">
        <w:t>M.J.F.M. DE BRUIN</w:t>
      </w:r>
    </w:p>
    <w:p w:rsidR="00A66207" w:rsidRPr="00EF0B94" w:rsidRDefault="00A66207" w:rsidP="00A66207">
      <w:pPr>
        <w:spacing w:after="0" w:line="240" w:lineRule="auto"/>
      </w:pPr>
    </w:p>
    <w:p w:rsidR="00A66207" w:rsidRPr="00EF0B94" w:rsidRDefault="00A66207" w:rsidP="00A66207">
      <w:pPr>
        <w:spacing w:after="0" w:line="240" w:lineRule="auto"/>
      </w:pPr>
      <w:r w:rsidRPr="00EF0B94">
        <w:t>Introductie</w:t>
      </w:r>
    </w:p>
    <w:p w:rsidR="00A66207" w:rsidRPr="00EF0B94" w:rsidRDefault="00A66207" w:rsidP="00A66207">
      <w:pPr>
        <w:spacing w:after="0" w:line="240" w:lineRule="auto"/>
      </w:pPr>
      <w:r w:rsidRPr="00EF0B94">
        <w:t xml:space="preserve">De hoge prevalentie van urine incontinentie bij vrouwen en frequente </w:t>
      </w:r>
      <w:proofErr w:type="spellStart"/>
      <w:r w:rsidRPr="00EF0B94">
        <w:t>onderbehandeling</w:t>
      </w:r>
      <w:proofErr w:type="spellEnd"/>
      <w:r w:rsidRPr="00EF0B94">
        <w:t xml:space="preserve"> hebben geleid tot de ontwikkeling van een internet Diagnostisch Expert Programma (DEP) dat onderscheid maakt in verschillende typen urine incontinentie. DEP heeft een aangetoonde voorspellende waarde van 90%, identificeert risico- en complicerende factoren en genereert persoonlijke adviezen. Een </w:t>
      </w:r>
      <w:proofErr w:type="spellStart"/>
      <w:r w:rsidRPr="00EF0B94">
        <w:t>ehealth</w:t>
      </w:r>
      <w:proofErr w:type="spellEnd"/>
      <w:r w:rsidRPr="00EF0B94">
        <w:t xml:space="preserve"> versie van DEP werd gecombineerd met de vaardigheden van continentie verpleegkundigen.</w:t>
      </w:r>
    </w:p>
    <w:p w:rsidR="00A66207" w:rsidRPr="00EF0B94" w:rsidRDefault="00A66207" w:rsidP="00A66207">
      <w:pPr>
        <w:spacing w:after="0" w:line="240" w:lineRule="auto"/>
      </w:pPr>
    </w:p>
    <w:p w:rsidR="00A66207" w:rsidRPr="00EF0B94" w:rsidRDefault="00A66207" w:rsidP="00A66207">
      <w:pPr>
        <w:spacing w:after="0" w:line="240" w:lineRule="auto"/>
      </w:pPr>
      <w:r w:rsidRPr="00EF0B94">
        <w:t>Materiaal en methoden</w:t>
      </w:r>
    </w:p>
    <w:p w:rsidR="00A66207" w:rsidRPr="00EF0B94" w:rsidRDefault="00A66207" w:rsidP="00A66207">
      <w:pPr>
        <w:spacing w:after="0" w:line="240" w:lineRule="auto"/>
      </w:pPr>
      <w:r w:rsidRPr="00EF0B94">
        <w:t xml:space="preserve">Via internet hebben 1286 vrouwen met urine incontinentie zich aangemeld van wie 102 het DEP in combinatie met een continentie verpleegkundige service hebben gebruikt en de </w:t>
      </w:r>
      <w:proofErr w:type="spellStart"/>
      <w:r w:rsidRPr="00EF0B94">
        <w:t>overigen</w:t>
      </w:r>
      <w:proofErr w:type="spellEnd"/>
      <w:r w:rsidRPr="00EF0B94">
        <w:t xml:space="preserve"> 1184 het DEP enkel als zelfzorg. Het protocol bestond uit gebruik van DEP, Kwaliteit van Leven score(</w:t>
      </w:r>
      <w:proofErr w:type="spellStart"/>
      <w:r w:rsidRPr="00EF0B94">
        <w:t>KvL</w:t>
      </w:r>
      <w:proofErr w:type="spellEnd"/>
      <w:r w:rsidRPr="00EF0B94">
        <w:t xml:space="preserve">), mictie dagboek, thuisbezoek, urine- en  lichamelijk onderzoek en telefonische controle na 4 en 8 weken. Het type incontinentie en risico factoren werden gebruikt voor persoonlijk advies over leefregels, training en verband gebruik. Complicerende factoren werden gebruikt voor verwijs advies. Evaluatie was gebaseerd op veranderingen in </w:t>
      </w:r>
      <w:proofErr w:type="spellStart"/>
      <w:r w:rsidRPr="00EF0B94">
        <w:t>KvL</w:t>
      </w:r>
      <w:proofErr w:type="spellEnd"/>
      <w:r w:rsidRPr="00EF0B94">
        <w:t>, verband verbruik en blaasfunctie.</w:t>
      </w:r>
    </w:p>
    <w:p w:rsidR="00A66207" w:rsidRPr="00EF0B94" w:rsidRDefault="00A66207" w:rsidP="00A66207">
      <w:pPr>
        <w:spacing w:after="0" w:line="240" w:lineRule="auto"/>
      </w:pPr>
    </w:p>
    <w:p w:rsidR="00A66207" w:rsidRPr="00EF0B94" w:rsidRDefault="00A66207" w:rsidP="00A66207">
      <w:pPr>
        <w:spacing w:after="0" w:line="240" w:lineRule="auto"/>
      </w:pPr>
      <w:r w:rsidRPr="00EF0B94">
        <w:t>Resultaten</w:t>
      </w:r>
    </w:p>
    <w:p w:rsidR="00A66207" w:rsidRPr="00EF0B94" w:rsidRDefault="00A66207" w:rsidP="00A66207">
      <w:pPr>
        <w:spacing w:after="0" w:line="240" w:lineRule="auto"/>
      </w:pPr>
      <w:r w:rsidRPr="00EF0B94">
        <w:t xml:space="preserve">De leeftijd van de 102 vrouwen met urine incontinentie </w:t>
      </w:r>
      <w:proofErr w:type="spellStart"/>
      <w:r w:rsidRPr="00EF0B94">
        <w:t>variëerde</w:t>
      </w:r>
      <w:proofErr w:type="spellEnd"/>
      <w:r w:rsidRPr="00EF0B94">
        <w:t xml:space="preserve"> tussen 29 en 88 jaar </w:t>
      </w:r>
      <w:proofErr w:type="spellStart"/>
      <w:r w:rsidRPr="00EF0B94">
        <w:t>jaar</w:t>
      </w:r>
      <w:proofErr w:type="spellEnd"/>
      <w:r w:rsidRPr="00EF0B94">
        <w:t xml:space="preserve"> (gemiddeld 61). Complicerende factoren voor verwijs advies waren: </w:t>
      </w:r>
      <w:proofErr w:type="spellStart"/>
      <w:r w:rsidRPr="00EF0B94">
        <w:t>co-medicatie</w:t>
      </w:r>
      <w:proofErr w:type="spellEnd"/>
      <w:r w:rsidRPr="00EF0B94">
        <w:t xml:space="preserve"> (48%), abnormale </w:t>
      </w:r>
      <w:proofErr w:type="spellStart"/>
      <w:r w:rsidRPr="00EF0B94">
        <w:t>defaecatie</w:t>
      </w:r>
      <w:proofErr w:type="spellEnd"/>
      <w:r w:rsidRPr="00EF0B94">
        <w:t xml:space="preserve"> (26%), chirurgie kleine bekken(17%), neurologische ziekte (16%), psychiatrische behandeling (13%), Diabetes Mellitus (12%), slechte mobiliteit (7%), hematurie (6%), prolaps (6%), afwijkende urine (25%), vaginale atrofie (2%) en slechte bekkenbodem functie 22%. Van de vrouwen was 25% gediagnostiseerd met stress-, 66% met gemengde- en 9% met </w:t>
      </w:r>
      <w:proofErr w:type="spellStart"/>
      <w:r w:rsidRPr="00EF0B94">
        <w:t>urge</w:t>
      </w:r>
      <w:proofErr w:type="spellEnd"/>
      <w:r w:rsidRPr="00EF0B94">
        <w:t xml:space="preserve"> incontinentie. Instructie en advies met leefregel aanpassingen werden gegeven bij 89%: 38% vocht aanpassing, 28% afvallen, 21% laxerend dieet  en 16% stop roken. 91% kreeg instructie voor bekkenbodemspieroefeningen en 73% voor blaastraining. Veranderingen van </w:t>
      </w:r>
      <w:proofErr w:type="spellStart"/>
      <w:r w:rsidRPr="00EF0B94">
        <w:t>KvL</w:t>
      </w:r>
      <w:proofErr w:type="spellEnd"/>
      <w:r w:rsidRPr="00EF0B94">
        <w:t xml:space="preserve">, verband verbruik en blaasfunctie staan in tabel en in combinatie was er verbetering bij 91%. De gemiddelde </w:t>
      </w:r>
      <w:proofErr w:type="spellStart"/>
      <w:r w:rsidRPr="00EF0B94">
        <w:t>KvL</w:t>
      </w:r>
      <w:proofErr w:type="spellEnd"/>
      <w:r w:rsidRPr="00EF0B94">
        <w:t xml:space="preserve"> score verbeterde 31%. Bij aanvang was het gemiddelde verband gebruik 3,2 per dag, de gemiddelde afname was 25% en 13% rapporteerde na afloop continentie/geen verband. </w:t>
      </w:r>
    </w:p>
    <w:p w:rsidR="00A66207" w:rsidRPr="00EF0B94" w:rsidRDefault="00A66207" w:rsidP="00A66207">
      <w:pPr>
        <w:spacing w:after="0" w:line="240" w:lineRule="auto"/>
      </w:pPr>
    </w:p>
    <w:p w:rsidR="00A66207" w:rsidRPr="00EF0B94" w:rsidRDefault="00A66207" w:rsidP="00A66207">
      <w:pPr>
        <w:spacing w:after="0" w:line="240" w:lineRule="auto"/>
      </w:pPr>
      <w:r w:rsidRPr="00EF0B94">
        <w:t>Conclusie</w:t>
      </w:r>
    </w:p>
    <w:p w:rsidR="00A66207" w:rsidRPr="00EF0B94" w:rsidRDefault="00A66207" w:rsidP="00A66207">
      <w:pPr>
        <w:spacing w:after="0" w:line="240" w:lineRule="auto"/>
      </w:pPr>
      <w:proofErr w:type="spellStart"/>
      <w:r w:rsidRPr="00EF0B94">
        <w:t>Ehealth</w:t>
      </w:r>
      <w:proofErr w:type="spellEnd"/>
      <w:r w:rsidRPr="00EF0B94">
        <w:t>, gebaseerd op het DEP, gecombineerd met een continentie verpleegkundige - protocol gestuurde - service met laagdrempelige toegang in de thuisomgeving is bedoeld om meer continentie te brengen bij meer vrouwen. De resultaten tonen dat deze service continentie brengt bij 13%, verbetering bij 78% en een verband reductie  van 25% in deze studie populatie.</w:t>
      </w:r>
    </w:p>
    <w:p w:rsidR="00A66207" w:rsidRPr="00EF0B94" w:rsidRDefault="00A66207" w:rsidP="00A66207">
      <w:pPr>
        <w:spacing w:after="0" w:line="240" w:lineRule="auto"/>
      </w:pPr>
    </w:p>
    <w:p w:rsidR="00A66207" w:rsidRPr="00EF0B94" w:rsidRDefault="00A66207" w:rsidP="00A66207">
      <w:pPr>
        <w:spacing w:after="0" w:line="240" w:lineRule="auto"/>
      </w:pPr>
      <w:r w:rsidRPr="00EF0B94">
        <w:t xml:space="preserve">Tabel. </w:t>
      </w:r>
      <w:r>
        <w:t>Uitkomsten van het Diagnostisch Expert Programma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1985"/>
        <w:gridCol w:w="2331"/>
      </w:tblGrid>
      <w:tr w:rsidR="00A66207" w:rsidRPr="00EF0B94" w:rsidTr="001070F5">
        <w:tc>
          <w:tcPr>
            <w:tcW w:w="2619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N = 102</w:t>
            </w:r>
          </w:p>
        </w:tc>
        <w:tc>
          <w:tcPr>
            <w:tcW w:w="1095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verbeterd</w:t>
            </w:r>
          </w:p>
        </w:tc>
        <w:tc>
          <w:tcPr>
            <w:tcW w:w="1286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verslechterd</w:t>
            </w:r>
          </w:p>
        </w:tc>
      </w:tr>
      <w:tr w:rsidR="00A66207" w:rsidRPr="00EF0B94" w:rsidTr="001070F5">
        <w:tc>
          <w:tcPr>
            <w:tcW w:w="2619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Kwaliteit van Leven</w:t>
            </w:r>
          </w:p>
        </w:tc>
        <w:tc>
          <w:tcPr>
            <w:tcW w:w="1095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72%</w:t>
            </w:r>
          </w:p>
        </w:tc>
        <w:tc>
          <w:tcPr>
            <w:tcW w:w="1286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4%</w:t>
            </w:r>
          </w:p>
        </w:tc>
      </w:tr>
      <w:tr w:rsidR="00A66207" w:rsidRPr="00EF0B94" w:rsidTr="001070F5">
        <w:tc>
          <w:tcPr>
            <w:tcW w:w="2619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Incontinentie gerapporteerd</w:t>
            </w:r>
          </w:p>
        </w:tc>
        <w:tc>
          <w:tcPr>
            <w:tcW w:w="1095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55%</w:t>
            </w:r>
          </w:p>
        </w:tc>
        <w:tc>
          <w:tcPr>
            <w:tcW w:w="1286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2%</w:t>
            </w:r>
          </w:p>
        </w:tc>
      </w:tr>
      <w:tr w:rsidR="00A66207" w:rsidRPr="00EF0B94" w:rsidTr="001070F5">
        <w:tc>
          <w:tcPr>
            <w:tcW w:w="2619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Verband gebruik geregistreerd</w:t>
            </w:r>
          </w:p>
        </w:tc>
        <w:tc>
          <w:tcPr>
            <w:tcW w:w="1095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62%</w:t>
            </w:r>
          </w:p>
        </w:tc>
        <w:tc>
          <w:tcPr>
            <w:tcW w:w="1286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7%</w:t>
            </w:r>
          </w:p>
        </w:tc>
      </w:tr>
      <w:tr w:rsidR="00A66207" w:rsidRPr="00EF0B94" w:rsidTr="001070F5">
        <w:tc>
          <w:tcPr>
            <w:tcW w:w="2619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Verband gebruik gerapporteerd</w:t>
            </w:r>
          </w:p>
        </w:tc>
        <w:tc>
          <w:tcPr>
            <w:tcW w:w="1095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45%</w:t>
            </w:r>
          </w:p>
        </w:tc>
        <w:tc>
          <w:tcPr>
            <w:tcW w:w="1286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4%</w:t>
            </w:r>
          </w:p>
        </w:tc>
      </w:tr>
      <w:tr w:rsidR="00A66207" w:rsidRPr="00EF0B94" w:rsidTr="001070F5">
        <w:tc>
          <w:tcPr>
            <w:tcW w:w="2619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Mictie frequentie *</w:t>
            </w:r>
          </w:p>
        </w:tc>
        <w:tc>
          <w:tcPr>
            <w:tcW w:w="1095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56%</w:t>
            </w:r>
          </w:p>
        </w:tc>
        <w:tc>
          <w:tcPr>
            <w:tcW w:w="1286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22%</w:t>
            </w:r>
          </w:p>
        </w:tc>
      </w:tr>
      <w:tr w:rsidR="00A66207" w:rsidRPr="00EF0B94" w:rsidTr="001070F5">
        <w:tc>
          <w:tcPr>
            <w:tcW w:w="2619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 xml:space="preserve">Mictie volume, </w:t>
            </w:r>
            <w:proofErr w:type="spellStart"/>
            <w:r w:rsidRPr="00EF0B94">
              <w:t>gemid.per</w:t>
            </w:r>
            <w:proofErr w:type="spellEnd"/>
            <w:r w:rsidRPr="00EF0B94">
              <w:t xml:space="preserve"> keer* </w:t>
            </w:r>
          </w:p>
        </w:tc>
        <w:tc>
          <w:tcPr>
            <w:tcW w:w="1095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72%</w:t>
            </w:r>
          </w:p>
        </w:tc>
        <w:tc>
          <w:tcPr>
            <w:tcW w:w="1286" w:type="pct"/>
          </w:tcPr>
          <w:p w:rsidR="00A66207" w:rsidRPr="00EF0B94" w:rsidRDefault="00A66207" w:rsidP="001070F5">
            <w:pPr>
              <w:spacing w:after="0" w:line="240" w:lineRule="auto"/>
            </w:pPr>
            <w:r w:rsidRPr="00EF0B94">
              <w:t>15%</w:t>
            </w:r>
          </w:p>
        </w:tc>
      </w:tr>
    </w:tbl>
    <w:p w:rsidR="00A66207" w:rsidRPr="00EF0B94" w:rsidRDefault="00A66207" w:rsidP="00A66207">
      <w:pPr>
        <w:spacing w:after="0" w:line="240" w:lineRule="auto"/>
      </w:pPr>
      <w:r w:rsidRPr="00EF0B94">
        <w:t>* Blaasfunctie evaluatie met complete mictielijsten bij 72 vrouwen</w:t>
      </w:r>
    </w:p>
    <w:p w:rsidR="00A66207" w:rsidRPr="00EC5E1D" w:rsidRDefault="00A66207" w:rsidP="00A66207">
      <w:pPr>
        <w:pStyle w:val="Geenafstand"/>
      </w:pPr>
      <w:r w:rsidRPr="00EC5E1D">
        <w:t xml:space="preserve">Gepubliceerd   Tijdschrift voor Urologie, </w:t>
      </w:r>
      <w:proofErr w:type="spellStart"/>
      <w:r w:rsidRPr="00EC5E1D">
        <w:t>nr</w:t>
      </w:r>
      <w:proofErr w:type="spellEnd"/>
      <w:r w:rsidRPr="00EC5E1D">
        <w:t xml:space="preserve"> 7, november 2012, p 166 - 167</w:t>
      </w:r>
    </w:p>
    <w:p w:rsidR="00C52382" w:rsidRPr="00C15C51" w:rsidRDefault="00C15C51" w:rsidP="00C15C51">
      <w:pPr>
        <w:pStyle w:val="Geenafstand"/>
        <w:rPr>
          <w:rFonts w:asciiTheme="minorHAnsi" w:hAnsiTheme="minorHAnsi"/>
          <w:lang w:val="en-US"/>
        </w:rPr>
      </w:pPr>
      <w:r w:rsidRPr="003E389A">
        <w:rPr>
          <w:rFonts w:asciiTheme="minorHAnsi" w:hAnsiTheme="minorHAnsi"/>
          <w:lang w:val="en-US"/>
        </w:rPr>
        <w:t xml:space="preserve">Presented at the </w:t>
      </w:r>
      <w:r>
        <w:rPr>
          <w:rFonts w:asciiTheme="minorHAnsi" w:hAnsiTheme="minorHAnsi"/>
          <w:lang w:val="en-US"/>
        </w:rPr>
        <w:t>42</w:t>
      </w:r>
      <w:r w:rsidRPr="003E389A">
        <w:rPr>
          <w:rFonts w:asciiTheme="minorHAnsi" w:hAnsiTheme="minorHAnsi"/>
          <w:vertAlign w:val="superscript"/>
          <w:lang w:val="en-US"/>
        </w:rPr>
        <w:t>nd</w:t>
      </w:r>
      <w:r>
        <w:rPr>
          <w:rFonts w:asciiTheme="minorHAnsi" w:hAnsiTheme="minorHAnsi"/>
          <w:lang w:val="en-US"/>
        </w:rPr>
        <w:t xml:space="preserve"> annual meeting of the </w:t>
      </w:r>
      <w:r w:rsidRPr="003E389A">
        <w:rPr>
          <w:rFonts w:asciiTheme="minorHAnsi" w:hAnsiTheme="minorHAnsi"/>
          <w:lang w:val="en-US"/>
        </w:rPr>
        <w:t>International Continence Society in Beijing 2012</w:t>
      </w:r>
      <w:r>
        <w:rPr>
          <w:rFonts w:asciiTheme="minorHAnsi" w:hAnsiTheme="minorHAnsi"/>
          <w:lang w:val="en-US"/>
        </w:rPr>
        <w:t>.</w:t>
      </w:r>
      <w:bookmarkStart w:id="0" w:name="_GoBack"/>
      <w:bookmarkEnd w:id="0"/>
    </w:p>
    <w:sectPr w:rsidR="00C52382" w:rsidRPr="00C1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7"/>
    <w:rsid w:val="00A66207"/>
    <w:rsid w:val="00C15C51"/>
    <w:rsid w:val="00C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3C2B-07E6-4152-B54E-6C8BE967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6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62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de Bruin</dc:creator>
  <cp:keywords/>
  <dc:description/>
  <cp:lastModifiedBy>Marcel de Bruin</cp:lastModifiedBy>
  <cp:revision>2</cp:revision>
  <dcterms:created xsi:type="dcterms:W3CDTF">2015-12-04T12:55:00Z</dcterms:created>
  <dcterms:modified xsi:type="dcterms:W3CDTF">2015-12-04T12:57:00Z</dcterms:modified>
</cp:coreProperties>
</file>